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воих-не-бросаем"/>
    <w:p>
      <w:pPr>
        <w:pStyle w:val="Heading3"/>
      </w:pPr>
      <w:r>
        <w:t xml:space="preserve">Своих не бросаем!</w:t>
      </w:r>
    </w:p>
    <w:p>
      <w:pPr>
        <w:pStyle w:val="FirstParagraph"/>
      </w:pPr>
      <w:r>
        <w:t xml:space="preserve">09.10.2022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Своих не бросаем! </w:t>
      </w:r>
    </w:p>
    <w:p>
      <w:pPr>
        <w:pStyle w:val="BodyText"/>
      </w:pPr>
      <w:r>
        <w:t xml:space="preserve">Для ребят и сотрудников Центра социальной (постинтернатной) адаптации фраза "своих не бросаем" недавно обрела особое значение: поддержку сотрудников, призванных в ряды Вооруженных сил Российской Федерации. Представители учреждения навестили их в учебном центре. Передали не только гостинцы, но и самое главное - слова любви, гордости и веры в победу! Сотрудники, сменив гражданскую одежду на военную форму, выглядят по-особому строго и собрано. Они понимают всю полноту ответственности, которая легла на их плечи - защищать Родину и русский народ!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http://cspa.mos.ru/presscenter/news/detail/11096099.html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96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96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2025-04-01T20:27:41Z</dcterms:created>
  <dcterms:modified xsi:type="dcterms:W3CDTF">2025-04-01T20:27:41Z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