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05b619722b11e46cd0fc6d24cbbf2114671a7"/>
    <w:p>
      <w:pPr>
        <w:pStyle w:val="Heading3"/>
      </w:pPr>
      <w:r>
        <w:t xml:space="preserve">НАЛОГ НА ИМУЩЕСТВО И ТРАНСПОРТНЫЙ НАЛОГ 31.10.2024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НАЛОГ НА ИМУЩЕСТВО И ТРАНСПОРТНЫЙ НАЛОГ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 прошлый четверг в рамках программы «Академия» ребята прослушали лекцию и поучаствовали в дискуссии на тему налогообложения. В этот раз приглашенные специалисты рассказали о налоге на имущество и налоге на транспортные средства — это два разных вида налогов, которые имеют свои особенности и цели.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Давайте рассмотрим оба этих налога подробнее.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font&gt;&lt;/b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8fa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http://cspa.mos.ru/presscenter/news/detail/nalog_na_imushchestvo_i_transportnyy_nalog_31_10_2024.html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nalog_na_imushchestvo_i_transportnyy_nalog_31_10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nalog_na_imushchestvo_i_transportnyy_nalog_31_10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2024-12-27T12:46:08Z</dcterms:created>
  <dcterms:modified xsi:type="dcterms:W3CDTF">2024-12-27T12:46:08Z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