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b1b6c4b6217bfb6229a15066decd5438cc63"/>
    <w:p>
      <w:pPr>
        <w:pStyle w:val="Heading3"/>
      </w:pPr>
      <w:r>
        <w:t xml:space="preserve">«Мода проходит, стиль остается!» - Коко Шанель 27.03.25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«Мода проходит, стиль остается!» - Коко Шанель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Директор по развитию сети Алеся Лескевич рассказала молодым людям как вещи, сданные когда-то по ненадобности, обретают вторую жизнь, и как через работу с одеждой можно делать добрые дела для тех, кто в этом нуждается. Поделилась личной историей о своей профессиональной деятельности, рассказала о миссии Фондов и об идее создания сети CharitéShop. А Татьяна — HR-менеджер компании, проинформировала о необходимых навыках, которые нужны для работы в социальной сфере, о качествах, которые особенно ценятся в данной профессии.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А главное – нашим ребятам была предложена возможность как работать на постоянной основе, так и подрабатывать во время обучения по выбранным профессиям.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2025-05-12T10:12:01Z</dcterms:created>
  <dcterms:modified xsi:type="dcterms:W3CDTF">2025-05-12T10:12:01Z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